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E325" w14:textId="2D0F1F88" w:rsidR="009F0201" w:rsidRDefault="009F0201" w:rsidP="009F0201">
      <w:pPr>
        <w:pStyle w:val="body-firstparagraph"/>
        <w:rPr>
          <w:color w:val="000000" w:themeColor="text1"/>
        </w:rPr>
      </w:pPr>
      <w:r w:rsidRPr="0062612E">
        <w:rPr>
          <w:b/>
          <w:bCs/>
          <w:color w:val="000000" w:themeColor="text1"/>
        </w:rPr>
        <w:t>Preliminary Jury Instructions—C</w:t>
      </w:r>
      <w:r>
        <w:rPr>
          <w:b/>
          <w:bCs/>
          <w:color w:val="000000" w:themeColor="text1"/>
        </w:rPr>
        <w:t>ivil</w:t>
      </w:r>
      <w:r w:rsidRPr="0062612E">
        <w:rPr>
          <w:b/>
          <w:bCs/>
          <w:color w:val="000000" w:themeColor="text1"/>
        </w:rPr>
        <w:t xml:space="preserve"> Case [From </w:t>
      </w:r>
      <w:proofErr w:type="spellStart"/>
      <w:r w:rsidRPr="0062612E">
        <w:rPr>
          <w:b/>
          <w:bCs/>
          <w:color w:val="000000" w:themeColor="text1"/>
        </w:rPr>
        <w:t>Benchbook</w:t>
      </w:r>
      <w:proofErr w:type="spellEnd"/>
      <w:r w:rsidRPr="0062612E">
        <w:rPr>
          <w:b/>
          <w:bCs/>
          <w:color w:val="000000" w:themeColor="text1"/>
        </w:rPr>
        <w:t xml:space="preserve"> </w:t>
      </w:r>
      <w:r>
        <w:rPr>
          <w:b/>
          <w:bCs/>
          <w:color w:val="000000" w:themeColor="text1"/>
        </w:rPr>
        <w:t>6</w:t>
      </w:r>
      <w:r w:rsidRPr="0062612E">
        <w:rPr>
          <w:b/>
          <w:bCs/>
          <w:color w:val="000000" w:themeColor="text1"/>
        </w:rPr>
        <w:t>.0</w:t>
      </w:r>
      <w:r>
        <w:rPr>
          <w:b/>
          <w:bCs/>
          <w:color w:val="000000" w:themeColor="text1"/>
        </w:rPr>
        <w:t>6</w:t>
      </w:r>
      <w:r w:rsidRPr="0062612E">
        <w:rPr>
          <w:b/>
          <w:bCs/>
          <w:color w:val="000000" w:themeColor="text1"/>
        </w:rPr>
        <w:t>]</w:t>
      </w:r>
    </w:p>
    <w:p w14:paraId="473F0647" w14:textId="77777777" w:rsidR="009F0201" w:rsidRDefault="009F0201" w:rsidP="009F0201">
      <w:pPr>
        <w:pStyle w:val="body-firstparagraph"/>
        <w:rPr>
          <w:color w:val="000000" w:themeColor="text1"/>
        </w:rPr>
      </w:pPr>
    </w:p>
    <w:p w14:paraId="33069526" w14:textId="05F91E9B" w:rsidR="009F0201" w:rsidRPr="00CA1CAA" w:rsidRDefault="009F0201" w:rsidP="009F0201">
      <w:pPr>
        <w:pStyle w:val="body-firstparagraph"/>
        <w:rPr>
          <w:color w:val="000000" w:themeColor="text1"/>
          <w:sz w:val="24"/>
          <w:szCs w:val="24"/>
        </w:rPr>
      </w:pPr>
      <w:r w:rsidRPr="00CA1CAA">
        <w:rPr>
          <w:color w:val="000000" w:themeColor="text1"/>
          <w:sz w:val="24"/>
          <w:szCs w:val="24"/>
        </w:rPr>
        <w:t>Members of the jury: Now that you have been sworn, I will give you some preliminary instructions to guide you in your participation in the trial.</w:t>
      </w:r>
    </w:p>
    <w:p w14:paraId="1E94A0F5" w14:textId="77777777" w:rsidR="009F0201" w:rsidRPr="00CA1CAA" w:rsidRDefault="009F0201" w:rsidP="009F0201">
      <w:pPr>
        <w:pStyle w:val="header3"/>
        <w:rPr>
          <w:color w:val="000000" w:themeColor="text1"/>
          <w:sz w:val="24"/>
          <w:szCs w:val="24"/>
        </w:rPr>
      </w:pPr>
      <w:r w:rsidRPr="00CA1CAA">
        <w:rPr>
          <w:color w:val="000000" w:themeColor="text1"/>
          <w:sz w:val="24"/>
          <w:szCs w:val="24"/>
        </w:rPr>
        <w:t>A. Duty of the Jury</w:t>
      </w:r>
    </w:p>
    <w:p w14:paraId="46EF9BCA"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It will be your duty to find from the evidence what the facts are. You and you alone will be the judges of the facts. You will then have to apply to those facts the law as the court will give it to you. You must follow that law whether you agree with it or not.</w:t>
      </w:r>
    </w:p>
    <w:p w14:paraId="7138647A"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Nothing the court may say or do </w:t>
      </w:r>
      <w:proofErr w:type="gramStart"/>
      <w:r w:rsidRPr="00CA1CAA">
        <w:rPr>
          <w:color w:val="000000" w:themeColor="text1"/>
          <w:sz w:val="24"/>
          <w:szCs w:val="24"/>
        </w:rPr>
        <w:t>during the course of</w:t>
      </w:r>
      <w:proofErr w:type="gramEnd"/>
      <w:r w:rsidRPr="00CA1CAA">
        <w:rPr>
          <w:color w:val="000000" w:themeColor="text1"/>
          <w:sz w:val="24"/>
          <w:szCs w:val="24"/>
        </w:rPr>
        <w:t xml:space="preserve"> the trial is intended to indicate, or should be taken by you as indicating, what your verdict should be.</w:t>
      </w:r>
    </w:p>
    <w:p w14:paraId="1B73A332" w14:textId="77777777" w:rsidR="009F0201" w:rsidRPr="00CA1CAA" w:rsidRDefault="009F0201" w:rsidP="009F0201">
      <w:pPr>
        <w:pStyle w:val="header3"/>
        <w:rPr>
          <w:color w:val="000000" w:themeColor="text1"/>
          <w:sz w:val="24"/>
          <w:szCs w:val="24"/>
        </w:rPr>
      </w:pPr>
      <w:r w:rsidRPr="00CA1CAA">
        <w:rPr>
          <w:color w:val="000000" w:themeColor="text1"/>
          <w:sz w:val="24"/>
          <w:szCs w:val="24"/>
        </w:rPr>
        <w:t>B. Evidence</w:t>
      </w:r>
    </w:p>
    <w:p w14:paraId="3E4866D8"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The evidence from which you will find the facts will consist of the testimony of witnesses, documents and other things received into the record as exhibits, and any facts that the lawyers agree to or stipulate to or that the court may instruct you to find.</w:t>
      </w:r>
    </w:p>
    <w:p w14:paraId="7A9E305A" w14:textId="77777777" w:rsidR="009F0201" w:rsidRPr="00CA1CAA" w:rsidRDefault="009F0201" w:rsidP="009F0201">
      <w:pPr>
        <w:pStyle w:val="Colloquytext"/>
        <w:rPr>
          <w:rFonts w:ascii="Times New Roman" w:hAnsi="Times New Roman" w:cs="Times New Roman"/>
          <w:color w:val="000000" w:themeColor="text1"/>
        </w:rPr>
      </w:pPr>
      <w:r w:rsidRPr="00CA1CAA">
        <w:rPr>
          <w:rFonts w:ascii="Times New Roman" w:hAnsi="Times New Roman" w:cs="Times New Roman"/>
          <w:color w:val="000000" w:themeColor="text1"/>
        </w:rPr>
        <w:t>Certain things are not evidence and must not be considered by you. I will list them for you now.</w:t>
      </w:r>
    </w:p>
    <w:p w14:paraId="21B1DC44" w14:textId="77777777" w:rsidR="009F0201" w:rsidRPr="00CA1CAA" w:rsidRDefault="009F0201" w:rsidP="009F0201">
      <w:pPr>
        <w:pStyle w:val="Colloquytextlist"/>
        <w:rPr>
          <w:rFonts w:ascii="Times New Roman" w:hAnsi="Times New Roman" w:cs="Times New Roman"/>
          <w:color w:val="000000" w:themeColor="text1"/>
        </w:rPr>
      </w:pPr>
      <w:r w:rsidRPr="00CA1CAA">
        <w:rPr>
          <w:rFonts w:ascii="Times New Roman" w:hAnsi="Times New Roman" w:cs="Times New Roman"/>
          <w:color w:val="000000" w:themeColor="text1"/>
        </w:rPr>
        <w:t>1.</w:t>
      </w:r>
      <w:r w:rsidRPr="00CA1CAA">
        <w:rPr>
          <w:rFonts w:ascii="Times New Roman" w:hAnsi="Times New Roman" w:cs="Times New Roman"/>
          <w:color w:val="000000" w:themeColor="text1"/>
        </w:rPr>
        <w:tab/>
        <w:t>Statements, arguments, and questions by lawyers are not evidence.</w:t>
      </w:r>
    </w:p>
    <w:p w14:paraId="3F5BE203" w14:textId="77777777" w:rsidR="009F0201" w:rsidRPr="00CA1CAA" w:rsidRDefault="009F0201" w:rsidP="009F0201">
      <w:pPr>
        <w:pStyle w:val="Colloquytextlist"/>
        <w:rPr>
          <w:rFonts w:ascii="Times New Roman" w:hAnsi="Times New Roman" w:cs="Times New Roman"/>
          <w:color w:val="000000" w:themeColor="text1"/>
        </w:rPr>
      </w:pPr>
      <w:r w:rsidRPr="00CA1CAA">
        <w:rPr>
          <w:rFonts w:ascii="Times New Roman" w:hAnsi="Times New Roman" w:cs="Times New Roman"/>
          <w:color w:val="000000" w:themeColor="text1"/>
        </w:rPr>
        <w:t>2.</w:t>
      </w:r>
      <w:r w:rsidRPr="00CA1CAA">
        <w:rPr>
          <w:rFonts w:ascii="Times New Roman" w:hAnsi="Times New Roman" w:cs="Times New Roman"/>
          <w:color w:val="000000" w:themeColor="text1"/>
        </w:rPr>
        <w:tab/>
        <w:t>Objections to questions are not evidence. Lawyers have an obligation to their clients to make objections when they believe evidence being offered is improper under the rules of evidence. You should not be influenced by the objection or by the court’s ruling on it. If the objection is sustained, ignore the question. If it is overruled, treat the answer like any other. If you are instructed that some item of evidence is received for a limited purpose only, you must follow that instruction.</w:t>
      </w:r>
    </w:p>
    <w:p w14:paraId="42FA679A" w14:textId="77777777" w:rsidR="009F0201" w:rsidRPr="00CA1CAA" w:rsidRDefault="009F0201" w:rsidP="009F0201">
      <w:pPr>
        <w:pStyle w:val="Colloquytextlist"/>
        <w:rPr>
          <w:rFonts w:ascii="Times New Roman" w:hAnsi="Times New Roman" w:cs="Times New Roman"/>
          <w:color w:val="000000" w:themeColor="text1"/>
        </w:rPr>
      </w:pPr>
      <w:r w:rsidRPr="00CA1CAA">
        <w:rPr>
          <w:rFonts w:ascii="Times New Roman" w:hAnsi="Times New Roman" w:cs="Times New Roman"/>
          <w:color w:val="000000" w:themeColor="text1"/>
        </w:rPr>
        <w:t>3.</w:t>
      </w:r>
      <w:r w:rsidRPr="00CA1CAA">
        <w:rPr>
          <w:rFonts w:ascii="Times New Roman" w:hAnsi="Times New Roman" w:cs="Times New Roman"/>
          <w:color w:val="000000" w:themeColor="text1"/>
        </w:rPr>
        <w:tab/>
        <w:t>Testimony that the court has excluded or told you to disregard is not evidence and must not be considered.</w:t>
      </w:r>
    </w:p>
    <w:p w14:paraId="1B6568F9" w14:textId="77777777" w:rsidR="009F0201" w:rsidRPr="00CA1CAA" w:rsidRDefault="009F0201" w:rsidP="009F0201">
      <w:pPr>
        <w:pStyle w:val="Colloquytextlist"/>
        <w:rPr>
          <w:rFonts w:ascii="Times New Roman" w:hAnsi="Times New Roman" w:cs="Times New Roman"/>
          <w:color w:val="000000" w:themeColor="text1"/>
        </w:rPr>
      </w:pPr>
      <w:r w:rsidRPr="00CA1CAA">
        <w:rPr>
          <w:rFonts w:ascii="Times New Roman" w:hAnsi="Times New Roman" w:cs="Times New Roman"/>
          <w:color w:val="000000" w:themeColor="text1"/>
        </w:rPr>
        <w:t>4.</w:t>
      </w:r>
      <w:r w:rsidRPr="00CA1CAA">
        <w:rPr>
          <w:rFonts w:ascii="Times New Roman" w:hAnsi="Times New Roman" w:cs="Times New Roman"/>
          <w:color w:val="000000" w:themeColor="text1"/>
        </w:rPr>
        <w:tab/>
        <w:t>Anything you may have seen or heard outside the courtroom is not evidence and must be disregarded. You are to decide the case solely on the evidence presented here in the courtroom.</w:t>
      </w:r>
    </w:p>
    <w:p w14:paraId="1C78CCC2"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There are two kinds of evidence: direct and circumstantial. Direct evidence is direct proof of a fact, such as testimony of an eyewitness. Circumstantial evidence is proof of facts from which you may infer or conclude that other facts exist. I will give you further instructions on these as well as other matters at the end of the case, but keep in mind that you may consider both kinds of evidence.</w:t>
      </w:r>
    </w:p>
    <w:p w14:paraId="61540012" w14:textId="77777777" w:rsidR="009F0201" w:rsidRPr="00CA1CAA" w:rsidRDefault="009F0201" w:rsidP="009F0201">
      <w:pPr>
        <w:pStyle w:val="Colloquytext"/>
        <w:rPr>
          <w:rFonts w:ascii="Times New Roman" w:hAnsi="Times New Roman" w:cs="Times New Roman"/>
          <w:color w:val="000000" w:themeColor="text1"/>
        </w:rPr>
      </w:pPr>
      <w:r w:rsidRPr="00CA1CAA">
        <w:rPr>
          <w:rFonts w:ascii="Times New Roman" w:hAnsi="Times New Roman" w:cs="Times New Roman"/>
          <w:color w:val="000000" w:themeColor="text1"/>
        </w:rPr>
        <w:t>It will be up to you to decide which witnesses to believe, which witnesses not to believe, and how much of any witness’s testimony to accept or reject. I will give you some guidelines for determining the credibility of witnesses at the end of the case.</w:t>
      </w:r>
    </w:p>
    <w:p w14:paraId="6E93AB52" w14:textId="77777777" w:rsidR="009F0201" w:rsidRPr="00CA1CAA" w:rsidRDefault="009F0201" w:rsidP="009F0201">
      <w:pPr>
        <w:pStyle w:val="header3"/>
        <w:rPr>
          <w:color w:val="000000" w:themeColor="text1"/>
          <w:sz w:val="24"/>
          <w:szCs w:val="24"/>
        </w:rPr>
      </w:pPr>
      <w:r w:rsidRPr="00CA1CAA">
        <w:rPr>
          <w:color w:val="000000" w:themeColor="text1"/>
          <w:sz w:val="24"/>
          <w:szCs w:val="24"/>
        </w:rPr>
        <w:t>C. Burden of Proof</w:t>
      </w:r>
    </w:p>
    <w:p w14:paraId="32206180"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 xml:space="preserve">This is a civil case. The plaintiff has the burden of proving his [her] case by what is called the preponderance of the evidence. That means the plaintiff </w:t>
      </w:r>
      <w:proofErr w:type="gramStart"/>
      <w:r w:rsidRPr="00CA1CAA">
        <w:rPr>
          <w:color w:val="000000" w:themeColor="text1"/>
          <w:sz w:val="24"/>
          <w:szCs w:val="24"/>
        </w:rPr>
        <w:t>has to</w:t>
      </w:r>
      <w:proofErr w:type="gramEnd"/>
      <w:r w:rsidRPr="00CA1CAA">
        <w:rPr>
          <w:color w:val="000000" w:themeColor="text1"/>
          <w:sz w:val="24"/>
          <w:szCs w:val="24"/>
        </w:rPr>
        <w:t xml:space="preserve"> produce evidence which, considered in the light of all the facts, leads you to believe that what the plaintiff claims is more likely true than not. To put it differently, if you were to put the plaintiff’s and the defendant’s evidence on opposite sides of the scales, the plaintiff would have to make the scales tip somewhat on his [her] side. If the plaintiff fails to meet this burden, the verdict must be for the defendant.</w:t>
      </w:r>
    </w:p>
    <w:p w14:paraId="1F4936F5" w14:textId="77777777" w:rsidR="009F0201" w:rsidRPr="00CA1CAA" w:rsidRDefault="009F0201" w:rsidP="009F0201">
      <w:pPr>
        <w:pStyle w:val="body"/>
        <w:rPr>
          <w:color w:val="000000" w:themeColor="text1"/>
          <w:sz w:val="24"/>
          <w:szCs w:val="24"/>
        </w:rPr>
      </w:pPr>
      <w:r w:rsidRPr="00CA1CAA">
        <w:rPr>
          <w:color w:val="000000" w:themeColor="text1"/>
          <w:sz w:val="24"/>
          <w:szCs w:val="24"/>
        </w:rPr>
        <w:lastRenderedPageBreak/>
        <w:t>Those of you who have sat on criminal cases will have heard of proof beyond a reasonable doubt. That requirement does not apply to a civil case; therefore, you should put it out of your mind.</w:t>
      </w:r>
    </w:p>
    <w:p w14:paraId="56CE051B" w14:textId="77777777" w:rsidR="009F0201" w:rsidRPr="00CA1CAA" w:rsidRDefault="009F0201" w:rsidP="009F0201">
      <w:pPr>
        <w:pStyle w:val="header3"/>
        <w:rPr>
          <w:color w:val="000000" w:themeColor="text1"/>
          <w:sz w:val="24"/>
          <w:szCs w:val="24"/>
        </w:rPr>
      </w:pPr>
      <w:r w:rsidRPr="00CA1CAA">
        <w:rPr>
          <w:color w:val="000000" w:themeColor="text1"/>
          <w:sz w:val="24"/>
          <w:szCs w:val="24"/>
        </w:rPr>
        <w:t>D. Summary of applicable law</w:t>
      </w:r>
    </w:p>
    <w:p w14:paraId="38A6CE2D"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w:t>
      </w:r>
      <w:r w:rsidRPr="00CA1CAA">
        <w:rPr>
          <w:rStyle w:val="italic"/>
          <w:color w:val="000000" w:themeColor="text1"/>
          <w:sz w:val="24"/>
          <w:szCs w:val="24"/>
        </w:rPr>
        <w:t>Note:</w:t>
      </w:r>
      <w:r w:rsidRPr="00CA1CAA">
        <w:rPr>
          <w:color w:val="000000" w:themeColor="text1"/>
          <w:sz w:val="24"/>
          <w:szCs w:val="24"/>
        </w:rPr>
        <w:t xml:space="preserve"> A summary of the elements may not be appropriate in some cases.]</w:t>
      </w:r>
    </w:p>
    <w:p w14:paraId="7240675E"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In this case, the plaintiff claims that ___________; the defendant claims that ___________. I will give you detailed instructions on the law at the end of the case, and those instructions will control your deliberations and decision. But </w:t>
      </w:r>
      <w:proofErr w:type="gramStart"/>
      <w:r w:rsidRPr="00CA1CAA">
        <w:rPr>
          <w:color w:val="000000" w:themeColor="text1"/>
          <w:sz w:val="24"/>
          <w:szCs w:val="24"/>
        </w:rPr>
        <w:t>in order to</w:t>
      </w:r>
      <w:proofErr w:type="gramEnd"/>
      <w:r w:rsidRPr="00CA1CAA">
        <w:rPr>
          <w:color w:val="000000" w:themeColor="text1"/>
          <w:sz w:val="24"/>
          <w:szCs w:val="24"/>
        </w:rPr>
        <w:t xml:space="preserve"> help you follow the evidence, I will now give you a brief summary of the elements which the plaintiff must prove to make his [her] case: [here summarize the elements].</w:t>
      </w:r>
    </w:p>
    <w:p w14:paraId="2BCA64E1" w14:textId="77777777" w:rsidR="009F0201" w:rsidRPr="00CA1CAA" w:rsidRDefault="009F0201" w:rsidP="009F0201">
      <w:pPr>
        <w:pStyle w:val="header3"/>
        <w:rPr>
          <w:color w:val="000000" w:themeColor="text1"/>
          <w:sz w:val="24"/>
          <w:szCs w:val="24"/>
        </w:rPr>
      </w:pPr>
      <w:r w:rsidRPr="00CA1CAA">
        <w:rPr>
          <w:color w:val="000000" w:themeColor="text1"/>
          <w:sz w:val="24"/>
          <w:szCs w:val="24"/>
        </w:rPr>
        <w:t>E. Conduct of the jury</w:t>
      </w:r>
    </w:p>
    <w:p w14:paraId="0E8CDC97"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Now, a few words about your conduct as jurors.</w:t>
      </w:r>
    </w:p>
    <w:p w14:paraId="4CF73FF5" w14:textId="77777777" w:rsidR="009F0201" w:rsidRPr="00CA1CAA" w:rsidRDefault="009F0201" w:rsidP="009F0201">
      <w:pPr>
        <w:pStyle w:val="body"/>
        <w:rPr>
          <w:color w:val="000000" w:themeColor="text1"/>
          <w:sz w:val="24"/>
          <w:szCs w:val="24"/>
        </w:rPr>
      </w:pPr>
      <w:r w:rsidRPr="00CA1CAA">
        <w:rPr>
          <w:color w:val="000000" w:themeColor="text1"/>
          <w:sz w:val="24"/>
          <w:szCs w:val="24"/>
        </w:rPr>
        <w:t>You, as jurors, must decide this case based solely on the evidence presented here within the four walls of this courtroom. This means that during the trial you must not conduct any independent research about this case, the matters in the case, and the individuals or corporations involved in the case. In other words, you should not consult dictionaries or reference materials, search the Internet, websites, or blogs, or use any other electronic tools to obtain information about this case or to help you decide the case. Please do not try to find out information from any source outside the confines of this courtroom.</w:t>
      </w:r>
    </w:p>
    <w:p w14:paraId="445D6F33"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Until you retire to deliberate, you may not discuss this case with anyone, even your fellow jurors. After you retire to deliberate, you may begin discussing the case with your fellow jurors, but you cannot discuss the case with anyone else until you have returned a </w:t>
      </w:r>
      <w:proofErr w:type="gramStart"/>
      <w:r w:rsidRPr="00CA1CAA">
        <w:rPr>
          <w:color w:val="000000" w:themeColor="text1"/>
          <w:sz w:val="24"/>
          <w:szCs w:val="24"/>
        </w:rPr>
        <w:t>verdict</w:t>
      </w:r>
      <w:proofErr w:type="gramEnd"/>
      <w:r w:rsidRPr="00CA1CAA">
        <w:rPr>
          <w:color w:val="000000" w:themeColor="text1"/>
          <w:sz w:val="24"/>
          <w:szCs w:val="24"/>
        </w:rPr>
        <w:t xml:space="preserve"> and the case is at an end.</w:t>
      </w:r>
    </w:p>
    <w:p w14:paraId="4F7FBF28" w14:textId="77777777" w:rsidR="009F0201" w:rsidRPr="00CA1CAA" w:rsidRDefault="009F0201" w:rsidP="009F0201">
      <w:pPr>
        <w:pStyle w:val="body"/>
        <w:rPr>
          <w:color w:val="000000" w:themeColor="text1"/>
          <w:sz w:val="24"/>
          <w:szCs w:val="24"/>
        </w:rPr>
      </w:pPr>
      <w:r w:rsidRPr="00CA1CAA">
        <w:rPr>
          <w:color w:val="000000" w:themeColor="text1"/>
          <w:sz w:val="24"/>
          <w:szCs w:val="24"/>
        </w:rPr>
        <w:t>First,</w:t>
      </w:r>
      <w:r w:rsidRPr="00CA1CAA">
        <w:rPr>
          <w:rStyle w:val="FootnoteReference"/>
          <w:color w:val="000000" w:themeColor="text1"/>
          <w:sz w:val="24"/>
          <w:szCs w:val="24"/>
        </w:rPr>
        <w:footnoteReference w:id="1"/>
      </w:r>
      <w:r w:rsidRPr="00CA1CAA">
        <w:rPr>
          <w:color w:val="000000" w:themeColor="text1"/>
          <w:sz w:val="24"/>
          <w:szCs w:val="24"/>
        </w:rPr>
        <w:t xml:space="preserve"> this means that, during the trial, you must not conduct any independent research about this case, or the matters, legal issues, individuals, or other entities involved in this case. Just as you must not search or review any traditional sources of information about this case (such as dictionaries, reference materials, or television news or entertainment programs), you also must not search the internet or any other electronic resources for information about this case or the witnesses or parties involved in it. The bottom line for the important work you will be doing is that you must base your verdict only on the evidence presented in this courtroom, along with instructions on the law that I will provide.</w:t>
      </w:r>
    </w:p>
    <w:p w14:paraId="72D5543E"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Second, this means that you must not communicate about the case with anyone, including your family and friends, until deliberations, when you will discuss the case with only other jurors. During deliberations, you must continue not to communicate about the case with anyone else. Most of us use smartphones, tablets, or computers in our daily lives to access the internet, for information, and to participate in social media platforms. To remain impartial jurors, however, you </w:t>
      </w:r>
      <w:r w:rsidRPr="00CA1CAA">
        <w:rPr>
          <w:color w:val="000000" w:themeColor="text1"/>
          <w:sz w:val="24"/>
          <w:szCs w:val="24"/>
        </w:rPr>
        <w:lastRenderedPageBreak/>
        <w:t>must not communicate with anyone about this case, whether in person, in writing, or through email, text messaging, blogs, or social media websites and apps (like X (formerly Twitter), Facebook, Instagram, LinkedIn, YouTube, WhatsApp, and Snapchat).</w:t>
      </w:r>
    </w:p>
    <w:p w14:paraId="7D0DD23E" w14:textId="77777777" w:rsidR="009F0201" w:rsidRPr="00CA1CAA" w:rsidRDefault="009F0201" w:rsidP="009F0201">
      <w:pPr>
        <w:pStyle w:val="Colloquytext"/>
        <w:spacing w:before="120" w:after="120"/>
        <w:ind w:right="72"/>
        <w:rPr>
          <w:rFonts w:ascii="Times New Roman" w:hAnsi="Times New Roman" w:cs="Times New Roman"/>
          <w:color w:val="000000" w:themeColor="text1"/>
        </w:rPr>
      </w:pPr>
      <w:r w:rsidRPr="00CA1CAA">
        <w:rPr>
          <w:rFonts w:ascii="Times New Roman" w:hAnsi="Times New Roman" w:cs="Times New Roman"/>
          <w:color w:val="000000" w:themeColor="text1"/>
        </w:rPr>
        <w:t xml:space="preserve">[Consider reading here the suggested insert about </w:t>
      </w:r>
      <w:r w:rsidRPr="00CA1CAA">
        <w:rPr>
          <w:rStyle w:val="italic"/>
          <w:rFonts w:cs="Times New Roman"/>
          <w:color w:val="000000" w:themeColor="text1"/>
        </w:rPr>
        <w:t>why</w:t>
      </w:r>
      <w:r w:rsidRPr="00CA1CAA">
        <w:rPr>
          <w:rFonts w:ascii="Times New Roman" w:hAnsi="Times New Roman" w:cs="Times New Roman"/>
          <w:color w:val="000000" w:themeColor="text1"/>
        </w:rPr>
        <w:t xml:space="preserve"> jurors should not do their own research that is provided at the end of this section, after paragraph H, </w:t>
      </w:r>
      <w:r w:rsidRPr="00CA1CAA">
        <w:rPr>
          <w:rStyle w:val="italic"/>
          <w:rFonts w:cs="Times New Roman"/>
          <w:color w:val="000000" w:themeColor="text1"/>
        </w:rPr>
        <w:t>infra</w:t>
      </w:r>
      <w:r w:rsidRPr="00CA1CAA">
        <w:rPr>
          <w:rFonts w:ascii="Times New Roman" w:hAnsi="Times New Roman" w:cs="Times New Roman"/>
          <w:color w:val="000000" w:themeColor="text1"/>
        </w:rPr>
        <w:t>.]</w:t>
      </w:r>
    </w:p>
    <w:p w14:paraId="1647A151"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Please note that these restrictions apply to </w:t>
      </w:r>
      <w:r w:rsidRPr="00CA1CAA">
        <w:rPr>
          <w:rStyle w:val="italic"/>
          <w:color w:val="000000" w:themeColor="text1"/>
          <w:sz w:val="24"/>
          <w:szCs w:val="24"/>
        </w:rPr>
        <w:t xml:space="preserve">all </w:t>
      </w:r>
      <w:r w:rsidRPr="00CA1CAA">
        <w:rPr>
          <w:color w:val="000000" w:themeColor="text1"/>
          <w:sz w:val="24"/>
          <w:szCs w:val="24"/>
        </w:rPr>
        <w:t xml:space="preserve">kinds of communications about this case, even those that are not directed at any </w:t>
      </w:r>
      <w:proofErr w:type="gramStart"/>
      <w:r w:rsidRPr="00CA1CAA">
        <w:rPr>
          <w:color w:val="000000" w:themeColor="text1"/>
          <w:sz w:val="24"/>
          <w:szCs w:val="24"/>
        </w:rPr>
        <w:t>particular person</w:t>
      </w:r>
      <w:proofErr w:type="gramEnd"/>
      <w:r w:rsidRPr="00CA1CAA">
        <w:rPr>
          <w:color w:val="000000" w:themeColor="text1"/>
          <w:sz w:val="24"/>
          <w:szCs w:val="24"/>
        </w:rPr>
        <w:t xml:space="preserve"> or group. Communications like blog posts or tweets can be shared to an ever-expanding circle of people and can have an unexpected impact on this trial. For example, a post you make to your social media account might be viewable by a witness who is not supposed to know what has happened in this courtroom before the witness has testified. For these reasons, you must inform me immediately if you learn about or share any information about the case outside of this courtroom, even if by accident, or if you discover that another juror has done so. </w:t>
      </w:r>
    </w:p>
    <w:p w14:paraId="55045F97"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Finally, a word about an even newer challenge for trials such as this one—persons, entities, and even foreign governments may seek to manipulate your opinions, or your impartiality during deliberations, using the communications I’ve already discussed or using fake social media accounts. But these misinformation efforts might also be undertaken through targeted advertising online or in social media. Many of the tools you use to access email, social media, and the internet display third-party notifications, pop-ups, or ads while you are using them. These communications may be intended to persuade you or your community on an </w:t>
      </w:r>
      <w:proofErr w:type="gramStart"/>
      <w:r w:rsidRPr="00CA1CAA">
        <w:rPr>
          <w:color w:val="000000" w:themeColor="text1"/>
          <w:sz w:val="24"/>
          <w:szCs w:val="24"/>
        </w:rPr>
        <w:t>issue, and</w:t>
      </w:r>
      <w:proofErr w:type="gramEnd"/>
      <w:r w:rsidRPr="00CA1CAA">
        <w:rPr>
          <w:color w:val="000000" w:themeColor="text1"/>
          <w:sz w:val="24"/>
          <w:szCs w:val="24"/>
        </w:rPr>
        <w:t xml:space="preserve"> could influence you in your service as a juror in this case. For example, while accessing your email, social media, or the internet, through no fault of your own, you might see popups containing information about this case or the matters, legal principles, individuals, or other entities involved in this case. Please be aware of this possibility, ignore any pop-ups or ads that might be relevant to what we are doing here, and certainly do not click through to learn more if these notifications or ads appear. If this happens, you must let me know. </w:t>
      </w:r>
    </w:p>
    <w:p w14:paraId="23D4026B"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Because it is so important to the parties’ rights that you decide this case based solely on the evidence and my instructions on the law, at the beginning of each day, I may ask you whether you have learned about or shared any information outside of this courtroom. (I like to let the jury know in advance that I may be doing that, so you are prepared for the question.) </w:t>
      </w:r>
    </w:p>
    <w:p w14:paraId="176D7F31" w14:textId="77777777" w:rsidR="009F0201" w:rsidRPr="00CA1CAA" w:rsidRDefault="009F0201" w:rsidP="009F0201">
      <w:pPr>
        <w:pStyle w:val="Colloquytext"/>
        <w:rPr>
          <w:rFonts w:ascii="Times New Roman" w:hAnsi="Times New Roman" w:cs="Times New Roman"/>
          <w:color w:val="000000" w:themeColor="text1"/>
        </w:rPr>
      </w:pPr>
      <w:r w:rsidRPr="00CA1CAA">
        <w:rPr>
          <w:rFonts w:ascii="Times New Roman" w:hAnsi="Times New Roman" w:cs="Times New Roman"/>
          <w:color w:val="000000" w:themeColor="text1"/>
        </w:rPr>
        <w:t>Remember that you must not form any opinion until all the evidence is in. Keep an open mind until you start your deliberations at the end of the case.</w:t>
      </w:r>
    </w:p>
    <w:p w14:paraId="5EB536BE" w14:textId="77777777" w:rsidR="009F0201" w:rsidRPr="00CA1CAA" w:rsidRDefault="009F0201" w:rsidP="009F0201">
      <w:pPr>
        <w:pStyle w:val="body"/>
        <w:rPr>
          <w:color w:val="000000" w:themeColor="text1"/>
          <w:sz w:val="24"/>
          <w:szCs w:val="24"/>
        </w:rPr>
      </w:pPr>
      <w:r w:rsidRPr="00CA1CAA">
        <w:rPr>
          <w:color w:val="000000" w:themeColor="text1"/>
          <w:sz w:val="24"/>
          <w:szCs w:val="24"/>
        </w:rPr>
        <w:t>[If the court decides to allow note taking, add:]</w:t>
      </w:r>
    </w:p>
    <w:p w14:paraId="6901FCD9"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If you want to take notes </w:t>
      </w:r>
      <w:proofErr w:type="gramStart"/>
      <w:r w:rsidRPr="00CA1CAA">
        <w:rPr>
          <w:color w:val="000000" w:themeColor="text1"/>
          <w:sz w:val="24"/>
          <w:szCs w:val="24"/>
        </w:rPr>
        <w:t>during the course of</w:t>
      </w:r>
      <w:proofErr w:type="gramEnd"/>
      <w:r w:rsidRPr="00CA1CAA">
        <w:rPr>
          <w:color w:val="000000" w:themeColor="text1"/>
          <w:sz w:val="24"/>
          <w:szCs w:val="24"/>
        </w:rPr>
        <w:t xml:space="preserve"> the trial, you may do so. However, it is difficult to take detailed notes and pay attention to what the witnesses are saying at the same time. If you do take notes, be sure that your note taking does not interfere with your listening to and considering </w:t>
      </w:r>
      <w:proofErr w:type="gramStart"/>
      <w:r w:rsidRPr="00CA1CAA">
        <w:rPr>
          <w:color w:val="000000" w:themeColor="text1"/>
          <w:sz w:val="24"/>
          <w:szCs w:val="24"/>
        </w:rPr>
        <w:t>all of</w:t>
      </w:r>
      <w:proofErr w:type="gramEnd"/>
      <w:r w:rsidRPr="00CA1CAA">
        <w:rPr>
          <w:color w:val="000000" w:themeColor="text1"/>
          <w:sz w:val="24"/>
          <w:szCs w:val="24"/>
        </w:rPr>
        <w:t xml:space="preserve"> the evidence. Also, if you do take notes, do not discuss them with anyone before you begin your deliberations. Do not take your notes with you at the end of the day—be sure to leave them in the jury room.</w:t>
      </w:r>
    </w:p>
    <w:p w14:paraId="0C4E0B45" w14:textId="77777777" w:rsidR="009F0201" w:rsidRPr="00CA1CAA" w:rsidRDefault="009F0201" w:rsidP="009F0201">
      <w:pPr>
        <w:pStyle w:val="body"/>
        <w:rPr>
          <w:color w:val="000000" w:themeColor="text1"/>
          <w:sz w:val="24"/>
          <w:szCs w:val="24"/>
        </w:rPr>
      </w:pPr>
      <w:r w:rsidRPr="00CA1CAA">
        <w:rPr>
          <w:color w:val="000000" w:themeColor="text1"/>
          <w:sz w:val="24"/>
          <w:szCs w:val="24"/>
        </w:rPr>
        <w:t xml:space="preserve">If you choose </w:t>
      </w:r>
      <w:r w:rsidRPr="00CA1CAA">
        <w:rPr>
          <w:rStyle w:val="italic"/>
          <w:color w:val="000000" w:themeColor="text1"/>
          <w:sz w:val="24"/>
          <w:szCs w:val="24"/>
        </w:rPr>
        <w:t>not</w:t>
      </w:r>
      <w:r w:rsidRPr="00CA1CAA">
        <w:rPr>
          <w:color w:val="000000" w:themeColor="text1"/>
          <w:sz w:val="24"/>
          <w:szCs w:val="24"/>
        </w:rPr>
        <w:t xml:space="preserve"> to take notes, remember that it is your own individual responsibility to listen carefully to the evidence. You cannot give this responsibility to someone who is taking notes. We depend on the judgment of all members of the jury; you all must remember the evidence in this case.</w:t>
      </w:r>
    </w:p>
    <w:p w14:paraId="291301E7" w14:textId="77777777" w:rsidR="009F0201" w:rsidRPr="00CA1CAA" w:rsidRDefault="009F0201" w:rsidP="009F0201">
      <w:pPr>
        <w:pStyle w:val="body"/>
        <w:rPr>
          <w:color w:val="000000" w:themeColor="text1"/>
          <w:sz w:val="24"/>
          <w:szCs w:val="24"/>
        </w:rPr>
      </w:pPr>
      <w:r w:rsidRPr="00CA1CAA">
        <w:rPr>
          <w:color w:val="000000" w:themeColor="text1"/>
          <w:sz w:val="24"/>
          <w:szCs w:val="24"/>
        </w:rPr>
        <w:lastRenderedPageBreak/>
        <w:t xml:space="preserve"> [If the court decides to allow jurors to ask questions during the trial, see </w:t>
      </w:r>
      <w:r w:rsidRPr="00CA1CAA">
        <w:rPr>
          <w:rStyle w:val="italic"/>
          <w:color w:val="000000" w:themeColor="text1"/>
          <w:sz w:val="24"/>
          <w:szCs w:val="24"/>
        </w:rPr>
        <w:t>infra</w:t>
      </w:r>
      <w:r w:rsidRPr="00CA1CAA">
        <w:rPr>
          <w:color w:val="000000" w:themeColor="text1"/>
          <w:sz w:val="24"/>
          <w:szCs w:val="24"/>
        </w:rPr>
        <w:t xml:space="preserve"> section 5.07: Juror Questions During Trial, for instructions and cautions.]</w:t>
      </w:r>
    </w:p>
    <w:p w14:paraId="593CB85C" w14:textId="77777777" w:rsidR="009F0201" w:rsidRPr="00CA1CAA" w:rsidRDefault="009F0201" w:rsidP="009F0201">
      <w:pPr>
        <w:pStyle w:val="header3"/>
        <w:rPr>
          <w:color w:val="000000" w:themeColor="text1"/>
          <w:sz w:val="24"/>
          <w:szCs w:val="24"/>
        </w:rPr>
      </w:pPr>
      <w:r w:rsidRPr="00CA1CAA">
        <w:rPr>
          <w:color w:val="000000" w:themeColor="text1"/>
          <w:sz w:val="24"/>
          <w:szCs w:val="24"/>
        </w:rPr>
        <w:t>F. Course of the trial</w:t>
      </w:r>
    </w:p>
    <w:p w14:paraId="0979792B"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The trial will now begin. First, each side may make an opening statement. An opening statement is neither evidence nor argument; it is an outline of what that party intends to prove, offered to help you follow the evidence.</w:t>
      </w:r>
    </w:p>
    <w:p w14:paraId="142A0EA3" w14:textId="77777777" w:rsidR="009F0201" w:rsidRPr="00CA1CAA" w:rsidRDefault="009F0201" w:rsidP="009F0201">
      <w:pPr>
        <w:pStyle w:val="body"/>
        <w:rPr>
          <w:color w:val="000000" w:themeColor="text1"/>
          <w:sz w:val="24"/>
          <w:szCs w:val="24"/>
        </w:rPr>
      </w:pPr>
      <w:r w:rsidRPr="00CA1CAA">
        <w:rPr>
          <w:color w:val="000000" w:themeColor="text1"/>
          <w:sz w:val="24"/>
          <w:szCs w:val="24"/>
        </w:rPr>
        <w:t>Next, the plaintiff will present his [her] witnesses, and the defendant may cross-examine them. Then the defendant will present his [her] witnesses, and the plaintiff may cross-examine them.</w:t>
      </w:r>
    </w:p>
    <w:p w14:paraId="2C80368B" w14:textId="77777777" w:rsidR="009F0201" w:rsidRPr="00CA1CAA" w:rsidRDefault="009F0201" w:rsidP="009F0201">
      <w:pPr>
        <w:pStyle w:val="body"/>
        <w:rPr>
          <w:color w:val="000000" w:themeColor="text1"/>
          <w:sz w:val="24"/>
          <w:szCs w:val="24"/>
        </w:rPr>
      </w:pPr>
      <w:r w:rsidRPr="00CA1CAA">
        <w:rPr>
          <w:color w:val="000000" w:themeColor="text1"/>
          <w:sz w:val="24"/>
          <w:szCs w:val="24"/>
        </w:rPr>
        <w:t>After all the evidence is in, the parties will present their closing arguments to summarize and interpret the evidence for you, and the court will give you instructions on the law.</w:t>
      </w:r>
    </w:p>
    <w:p w14:paraId="4DB9363B" w14:textId="77777777" w:rsidR="009F0201" w:rsidRPr="00CA1CAA" w:rsidRDefault="009F0201" w:rsidP="009F0201">
      <w:pPr>
        <w:pStyle w:val="body"/>
        <w:rPr>
          <w:color w:val="000000" w:themeColor="text1"/>
          <w:sz w:val="24"/>
          <w:szCs w:val="24"/>
        </w:rPr>
      </w:pPr>
      <w:r w:rsidRPr="00CA1CAA">
        <w:rPr>
          <w:color w:val="000000" w:themeColor="text1"/>
          <w:sz w:val="24"/>
          <w:szCs w:val="24"/>
        </w:rPr>
        <w:t>[</w:t>
      </w:r>
      <w:r w:rsidRPr="00CA1CAA">
        <w:rPr>
          <w:rStyle w:val="italic"/>
          <w:color w:val="000000" w:themeColor="text1"/>
          <w:sz w:val="24"/>
          <w:szCs w:val="24"/>
        </w:rPr>
        <w:t>Note:</w:t>
      </w:r>
      <w:r w:rsidRPr="00CA1CAA">
        <w:rPr>
          <w:color w:val="000000" w:themeColor="text1"/>
          <w:sz w:val="24"/>
          <w:szCs w:val="24"/>
        </w:rPr>
        <w:t xml:space="preserve"> Some judges may wish to give some instructions before closing arguments. </w:t>
      </w:r>
      <w:r w:rsidRPr="00CA1CAA">
        <w:rPr>
          <w:rStyle w:val="italic"/>
          <w:color w:val="000000" w:themeColor="text1"/>
          <w:sz w:val="24"/>
          <w:szCs w:val="24"/>
        </w:rPr>
        <w:t>See</w:t>
      </w:r>
      <w:r w:rsidRPr="00CA1CAA">
        <w:rPr>
          <w:color w:val="000000" w:themeColor="text1"/>
          <w:sz w:val="24"/>
          <w:szCs w:val="24"/>
        </w:rPr>
        <w:t xml:space="preserve"> Fed. R. Civ. P. 51(b)(3).]</w:t>
      </w:r>
    </w:p>
    <w:p w14:paraId="55625710" w14:textId="77777777" w:rsidR="009F0201" w:rsidRPr="00CA1CAA" w:rsidRDefault="009F0201" w:rsidP="009F0201">
      <w:pPr>
        <w:pStyle w:val="body"/>
        <w:rPr>
          <w:color w:val="000000" w:themeColor="text1"/>
          <w:sz w:val="24"/>
          <w:szCs w:val="24"/>
        </w:rPr>
      </w:pPr>
      <w:r w:rsidRPr="00CA1CAA">
        <w:rPr>
          <w:color w:val="000000" w:themeColor="text1"/>
          <w:sz w:val="24"/>
          <w:szCs w:val="24"/>
        </w:rPr>
        <w:t>You will then retire to deliberate on your verdict.</w:t>
      </w:r>
    </w:p>
    <w:p w14:paraId="38B2F4A7" w14:textId="77777777" w:rsidR="009F0201" w:rsidRPr="00CA1CAA" w:rsidRDefault="009F0201" w:rsidP="009F0201">
      <w:pPr>
        <w:pStyle w:val="header3"/>
        <w:rPr>
          <w:color w:val="000000" w:themeColor="text1"/>
          <w:sz w:val="24"/>
          <w:szCs w:val="24"/>
        </w:rPr>
      </w:pPr>
      <w:r w:rsidRPr="00CA1CAA">
        <w:rPr>
          <w:color w:val="000000" w:themeColor="text1"/>
          <w:sz w:val="24"/>
          <w:szCs w:val="24"/>
        </w:rPr>
        <w:t>G.</w:t>
      </w:r>
      <w:r w:rsidRPr="00CA1CAA">
        <w:rPr>
          <w:color w:val="000000" w:themeColor="text1"/>
          <w:sz w:val="24"/>
          <w:szCs w:val="24"/>
        </w:rPr>
        <w:tab/>
        <w:t>At the End of Each Day of the Case</w:t>
      </w:r>
      <w:r w:rsidRPr="00CA1CAA">
        <w:rPr>
          <w:rStyle w:val="FootnoteReference"/>
          <w:color w:val="000000" w:themeColor="text1"/>
          <w:sz w:val="24"/>
          <w:szCs w:val="24"/>
        </w:rPr>
        <w:footnoteReference w:id="2"/>
      </w:r>
    </w:p>
    <w:p w14:paraId="44607D77" w14:textId="77777777" w:rsidR="009F0201" w:rsidRPr="00CA1CAA" w:rsidRDefault="009F0201" w:rsidP="009F0201">
      <w:pPr>
        <w:pStyle w:val="Colloquytext"/>
        <w:rPr>
          <w:rFonts w:ascii="Times New Roman" w:hAnsi="Times New Roman" w:cs="Times New Roman"/>
          <w:color w:val="000000" w:themeColor="text1"/>
        </w:rPr>
      </w:pPr>
      <w:r w:rsidRPr="00CA1CAA">
        <w:rPr>
          <w:rFonts w:ascii="Times New Roman" w:hAnsi="Times New Roman" w:cs="Times New Roman"/>
          <w:color w:val="000000" w:themeColor="text1"/>
        </w:rPr>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and information such as television and newspapers. You also must not communicate with anyone, in any way, about this case. And you must ignore any information about the case that you might see while browsing the internet or your social media feeds. </w:t>
      </w:r>
    </w:p>
    <w:p w14:paraId="44BA0D0E" w14:textId="77777777" w:rsidR="009F0201" w:rsidRPr="00CA1CAA" w:rsidRDefault="009F0201" w:rsidP="009F0201">
      <w:pPr>
        <w:pStyle w:val="header3"/>
        <w:rPr>
          <w:color w:val="000000" w:themeColor="text1"/>
          <w:sz w:val="24"/>
          <w:szCs w:val="24"/>
        </w:rPr>
      </w:pPr>
      <w:r w:rsidRPr="00CA1CAA">
        <w:rPr>
          <w:color w:val="000000" w:themeColor="text1"/>
          <w:sz w:val="24"/>
          <w:szCs w:val="24"/>
        </w:rPr>
        <w:t>H. At the Beginning of Each Day of the Case</w:t>
      </w:r>
      <w:r w:rsidRPr="00CA1CAA">
        <w:rPr>
          <w:rStyle w:val="FootnoteReference"/>
          <w:color w:val="000000" w:themeColor="text1"/>
          <w:sz w:val="24"/>
          <w:szCs w:val="24"/>
        </w:rPr>
        <w:footnoteReference w:id="3"/>
      </w:r>
    </w:p>
    <w:p w14:paraId="3093AF39"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 xml:space="preserve">As I reminded you last night and continue to emphasize to you today, it is important that you decide this case based solely on the evidence and the law presented here. </w:t>
      </w:r>
      <w:proofErr w:type="gramStart"/>
      <w:r w:rsidRPr="00CA1CAA">
        <w:rPr>
          <w:color w:val="000000" w:themeColor="text1"/>
          <w:sz w:val="24"/>
          <w:szCs w:val="24"/>
        </w:rPr>
        <w:t>So</w:t>
      </w:r>
      <w:proofErr w:type="gramEnd"/>
      <w:r w:rsidRPr="00CA1CAA">
        <w:rPr>
          <w:color w:val="000000" w:themeColor="text1"/>
          <w:sz w:val="24"/>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2CB5EF15" w14:textId="77777777" w:rsidR="009F0201" w:rsidRPr="00CA1CAA" w:rsidRDefault="009F0201" w:rsidP="009F0201">
      <w:pPr>
        <w:pStyle w:val="body"/>
        <w:rPr>
          <w:color w:val="000000" w:themeColor="text1"/>
          <w:sz w:val="24"/>
          <w:szCs w:val="24"/>
        </w:rPr>
      </w:pPr>
      <w:r w:rsidRPr="00CA1CAA">
        <w:rPr>
          <w:color w:val="000000" w:themeColor="text1"/>
          <w:sz w:val="24"/>
          <w:szCs w:val="24"/>
        </w:rPr>
        <w:t>If you think you might have done so, please let me know now by raising your hand. [Wait for a show of hands]. I see no raised hands; however, if you would prefer to talk to a member of the court’s staff privately in response to this question, please do so at the next break. Thank you for your careful adherence to my instructions.</w:t>
      </w:r>
    </w:p>
    <w:p w14:paraId="5AA1B625" w14:textId="77777777" w:rsidR="009F0201" w:rsidRPr="00CA1CAA" w:rsidRDefault="009F0201" w:rsidP="009F0201">
      <w:pPr>
        <w:pStyle w:val="header3"/>
        <w:rPr>
          <w:color w:val="000000" w:themeColor="text1"/>
          <w:sz w:val="24"/>
          <w:szCs w:val="24"/>
        </w:rPr>
      </w:pPr>
    </w:p>
    <w:p w14:paraId="08D58828" w14:textId="77777777" w:rsidR="009F0201" w:rsidRPr="00CA1CAA" w:rsidRDefault="009F0201" w:rsidP="009F0201">
      <w:pPr>
        <w:pStyle w:val="header4"/>
        <w:rPr>
          <w:color w:val="000000" w:themeColor="text1"/>
          <w:sz w:val="24"/>
          <w:szCs w:val="24"/>
        </w:rPr>
      </w:pPr>
      <w:r w:rsidRPr="00CA1CAA">
        <w:rPr>
          <w:color w:val="000000" w:themeColor="text1"/>
          <w:sz w:val="24"/>
          <w:szCs w:val="24"/>
        </w:rPr>
        <w:t xml:space="preserve">Suggested instruction to explain why jurors should not do their own research, to include in paragraph E. Conduct of the Jury, </w:t>
      </w:r>
      <w:r w:rsidRPr="00CA1CAA">
        <w:rPr>
          <w:rStyle w:val="italic"/>
          <w:color w:val="000000" w:themeColor="text1"/>
          <w:sz w:val="24"/>
          <w:szCs w:val="24"/>
        </w:rPr>
        <w:t>supra</w:t>
      </w:r>
      <w:r w:rsidRPr="00CA1CAA">
        <w:rPr>
          <w:color w:val="000000" w:themeColor="text1"/>
          <w:sz w:val="24"/>
          <w:szCs w:val="24"/>
        </w:rPr>
        <w:t>:</w:t>
      </w:r>
    </w:p>
    <w:p w14:paraId="02D50A6D" w14:textId="77777777" w:rsidR="009F0201" w:rsidRPr="00CA1CAA" w:rsidRDefault="009F0201" w:rsidP="009F0201">
      <w:pPr>
        <w:pStyle w:val="body-firstparagraph"/>
        <w:rPr>
          <w:color w:val="000000" w:themeColor="text1"/>
          <w:sz w:val="24"/>
          <w:szCs w:val="24"/>
        </w:rPr>
      </w:pPr>
      <w:r w:rsidRPr="00CA1CAA">
        <w:rPr>
          <w:color w:val="000000" w:themeColor="text1"/>
          <w:sz w:val="24"/>
          <w:szCs w:val="24"/>
        </w:rPr>
        <w:t xml:space="preserve">The parties have a right to have this case decided only on evidence they know about and that has been presented here in court. If you do some research, investigation, or experiment that we don’t know about, then your verdict may be influenced by inaccurate, incomplete, or misleading information that has not been tested by the trial process. The information you will see and hear in this courtroom, on the other hand, </w:t>
      </w:r>
      <w:proofErr w:type="gramStart"/>
      <w:r w:rsidRPr="00CA1CAA">
        <w:rPr>
          <w:color w:val="000000" w:themeColor="text1"/>
          <w:sz w:val="24"/>
          <w:szCs w:val="24"/>
        </w:rPr>
        <w:t>has to</w:t>
      </w:r>
      <w:proofErr w:type="gramEnd"/>
      <w:r w:rsidRPr="00CA1CAA">
        <w:rPr>
          <w:color w:val="000000" w:themeColor="text1"/>
          <w:sz w:val="24"/>
          <w:szCs w:val="24"/>
        </w:rPr>
        <w:t xml:space="preserve"> meet rigorous standards for truthfulness and reliability. </w:t>
      </w:r>
      <w:r w:rsidRPr="00CA1CAA">
        <w:rPr>
          <w:color w:val="000000" w:themeColor="text1"/>
          <w:sz w:val="24"/>
          <w:szCs w:val="24"/>
        </w:rPr>
        <w:lastRenderedPageBreak/>
        <w:t xml:space="preserve">We have rules of evidence that are designed to “ascertain the truth and secure a just determination.” Witnesses are sworn to tell the truth and may be punished for perjury if they do not. Experts must be qualified, evidence must be authenticated, and each party </w:t>
      </w:r>
      <w:proofErr w:type="gramStart"/>
      <w:r w:rsidRPr="00CA1CAA">
        <w:rPr>
          <w:color w:val="000000" w:themeColor="text1"/>
          <w:sz w:val="24"/>
          <w:szCs w:val="24"/>
        </w:rPr>
        <w:t>has the opportunity to</w:t>
      </w:r>
      <w:proofErr w:type="gramEnd"/>
      <w:r w:rsidRPr="00CA1CAA">
        <w:rPr>
          <w:color w:val="000000" w:themeColor="text1"/>
          <w:sz w:val="24"/>
          <w:szCs w:val="24"/>
        </w:rPr>
        <w:t xml:space="preserve"> challenge the other’s claims and evidence. What you might see on the internet or learn from some other news source or social media has few, if any, of these measures of trustworthiness. This includes anything said or written by the parties in this case outside of the courtroom, before or during the trial. Any such statements or writings are not made under oath, are not subject to cross-examination, verification, or the rules of evidence, may even be intentionally untruthful, and must not be considered during your deliberations. </w:t>
      </w:r>
    </w:p>
    <w:p w14:paraId="41FDAB4C" w14:textId="77777777" w:rsidR="009F0201" w:rsidRPr="00CA1CAA" w:rsidRDefault="009F0201" w:rsidP="009F0201">
      <w:pPr>
        <w:pStyle w:val="body"/>
        <w:rPr>
          <w:b/>
          <w:bCs/>
          <w:color w:val="000000" w:themeColor="text1"/>
          <w:sz w:val="24"/>
          <w:szCs w:val="24"/>
          <w:u w:val="single"/>
        </w:rPr>
      </w:pPr>
      <w:r w:rsidRPr="00CA1CAA">
        <w:rPr>
          <w:color w:val="000000" w:themeColor="text1"/>
          <w:sz w:val="24"/>
          <w:szCs w:val="24"/>
        </w:rPr>
        <w:t>If you decide a case based on information not presented in court, you will have denied the parties a fair trial in accordance with the rules of this country and you will have done an injustice. The parties understand what evidence I will allow during the trial before the trial starts and they have worked hard to prepare for trial, including addressing how this evidence may affect their case. If you do outside research, the parties will have no idea what you have found and will have no ability to help you to properly assess this information. That removes the level playing field that the parties and society expect during a trial. It is very important that you abide by these rules. Failure to follow these instructions could result in an unjust verdict or the case having to be retried.</w:t>
      </w:r>
    </w:p>
    <w:p w14:paraId="093AB492" w14:textId="77777777" w:rsidR="00F43867" w:rsidRPr="00CA1CAA" w:rsidRDefault="00F43867"/>
    <w:sectPr w:rsidR="00F43867" w:rsidRPr="00CA1C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B3BA" w14:textId="77777777" w:rsidR="009F0201" w:rsidRDefault="009F0201" w:rsidP="009F0201">
      <w:pPr>
        <w:spacing w:after="0" w:line="240" w:lineRule="auto"/>
      </w:pPr>
      <w:r>
        <w:separator/>
      </w:r>
    </w:p>
  </w:endnote>
  <w:endnote w:type="continuationSeparator" w:id="0">
    <w:p w14:paraId="54FEE39F" w14:textId="77777777" w:rsidR="009F0201" w:rsidRDefault="009F0201" w:rsidP="009F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Legacy Sans Medium">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54338"/>
      <w:docPartObj>
        <w:docPartGallery w:val="Page Numbers (Bottom of Page)"/>
        <w:docPartUnique/>
      </w:docPartObj>
    </w:sdtPr>
    <w:sdtEndPr>
      <w:rPr>
        <w:noProof/>
      </w:rPr>
    </w:sdtEndPr>
    <w:sdtContent>
      <w:p w14:paraId="2FE7AFDF" w14:textId="10E25262" w:rsidR="00656286" w:rsidRDefault="006562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3813F" w14:textId="77777777" w:rsidR="00656286" w:rsidRDefault="0065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0389" w14:textId="77777777" w:rsidR="009F0201" w:rsidRDefault="009F0201" w:rsidP="009F0201">
      <w:pPr>
        <w:spacing w:after="0" w:line="240" w:lineRule="auto"/>
      </w:pPr>
      <w:r>
        <w:separator/>
      </w:r>
    </w:p>
  </w:footnote>
  <w:footnote w:type="continuationSeparator" w:id="0">
    <w:p w14:paraId="070214AC" w14:textId="77777777" w:rsidR="009F0201" w:rsidRDefault="009F0201" w:rsidP="009F0201">
      <w:pPr>
        <w:spacing w:after="0" w:line="240" w:lineRule="auto"/>
      </w:pPr>
      <w:r>
        <w:continuationSeparator/>
      </w:r>
    </w:p>
  </w:footnote>
  <w:footnote w:id="1">
    <w:p w14:paraId="3BA16930" w14:textId="77777777" w:rsidR="009F0201" w:rsidRPr="009D2686" w:rsidRDefault="009F0201" w:rsidP="009F0201">
      <w:pPr>
        <w:pStyle w:val="footnotesnew"/>
        <w:rPr>
          <w:rFonts w:cs="Times New Roman"/>
          <w:color w:val="000000" w:themeColor="text1"/>
          <w:u w:val="single"/>
        </w:rPr>
      </w:pPr>
      <w:r w:rsidRPr="009D2686">
        <w:rPr>
          <w:rStyle w:val="FootnoteReference"/>
          <w:rFonts w:cs="Times New Roman"/>
          <w:color w:val="000000" w:themeColor="text1"/>
        </w:rPr>
        <w:footnoteRef/>
      </w:r>
      <w:r w:rsidRPr="009D2686">
        <w:rPr>
          <w:rFonts w:cs="Times New Roman"/>
          <w:color w:val="000000" w:themeColor="text1"/>
        </w:rPr>
        <w:t xml:space="preserve"> The next five paragraphs are from the </w:t>
      </w:r>
      <w:r w:rsidRPr="009D2686">
        <w:rPr>
          <w:rFonts w:cs="Times New Roman"/>
          <w:bCs/>
          <w:color w:val="000000" w:themeColor="text1"/>
        </w:rPr>
        <w:t>Proposed Model Jury Instructions: The Use of Electronic Technology to Learn or Communicate about a Case,</w:t>
      </w:r>
      <w:r w:rsidRPr="009D2686">
        <w:rPr>
          <w:rFonts w:cs="Times New Roman"/>
          <w:b/>
          <w:bCs/>
          <w:color w:val="000000" w:themeColor="text1"/>
        </w:rPr>
        <w:t xml:space="preserve"> </w:t>
      </w:r>
      <w:r w:rsidRPr="009D2686">
        <w:rPr>
          <w:rFonts w:cs="Times New Roman"/>
          <w:color w:val="000000" w:themeColor="text1"/>
        </w:rPr>
        <w:t xml:space="preserve">prepared by the Judicial Conference Committee on Court Administration and Case Management (2020). </w:t>
      </w:r>
      <w:r w:rsidRPr="009D2686">
        <w:rPr>
          <w:rStyle w:val="italic"/>
          <w:rFonts w:cs="Times New Roman"/>
          <w:color w:val="000000" w:themeColor="text1"/>
        </w:rPr>
        <w:t>See also</w:t>
      </w:r>
      <w:r w:rsidRPr="009D2686">
        <w:rPr>
          <w:rFonts w:cs="Times New Roman"/>
          <w:color w:val="000000" w:themeColor="text1"/>
        </w:rPr>
        <w:t xml:space="preserve"> Memorandum, “Updated Model jury Instructions on Social Media and Other Communications” from Judge Audrey G. Fleissig, Chair, Committee on Court Administration and Case Management (Sept. 1,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 (ao.dcn)</w:t>
        </w:r>
      </w:hyperlink>
      <w:r w:rsidRPr="009D2686">
        <w:rPr>
          <w:rFonts w:cs="Times New Roman"/>
          <w:color w:val="000000" w:themeColor="text1"/>
        </w:rPr>
        <w:t xml:space="preserve">. </w:t>
      </w:r>
      <w:r w:rsidRPr="009D2686">
        <w:rPr>
          <w:rStyle w:val="italic"/>
          <w:rFonts w:cs="Times New Roman"/>
          <w:color w:val="000000" w:themeColor="text1"/>
        </w:rPr>
        <w:t>See also</w:t>
      </w:r>
      <w:r w:rsidRPr="009D2686">
        <w:rPr>
          <w:rFonts w:cs="Times New Roman"/>
          <w:color w:val="000000" w:themeColor="text1"/>
        </w:rPr>
        <w:t xml:space="preserve"> “</w:t>
      </w:r>
      <w:r w:rsidRPr="009D2686">
        <w:rPr>
          <w:rFonts w:cs="Times New Roman"/>
          <w:bCs/>
          <w:color w:val="000000" w:themeColor="text1"/>
        </w:rPr>
        <w:t xml:space="preserve">Strategies for Preventing Jurors’ Use of Social Media During Trials and Deliberations” </w:t>
      </w:r>
      <w:r w:rsidRPr="009D2686">
        <w:rPr>
          <w:rStyle w:val="italic"/>
          <w:rFonts w:cs="Times New Roman"/>
          <w:color w:val="000000" w:themeColor="text1"/>
        </w:rPr>
        <w:t>in</w:t>
      </w:r>
      <w:r w:rsidRPr="009D2686">
        <w:rPr>
          <w:rFonts w:cs="Times New Roman"/>
          <w:color w:val="000000" w:themeColor="text1"/>
        </w:rPr>
        <w:t xml:space="preserve"> </w:t>
      </w:r>
      <w:r w:rsidRPr="009D2686">
        <w:rPr>
          <w:rStyle w:val="italic"/>
          <w:rFonts w:cs="Times New Roman"/>
          <w:iCs/>
          <w:color w:val="000000" w:themeColor="text1"/>
        </w:rPr>
        <w:t>Jurors’ Use of Social Media During Trials and Deliberations: A Report to the Judicial Conference Committee on Court Administration and Case Management</w:t>
      </w:r>
      <w:r w:rsidRPr="009D2686">
        <w:rPr>
          <w:rFonts w:cs="Times New Roman"/>
          <w:i/>
          <w:iCs/>
          <w:color w:val="000000" w:themeColor="text1"/>
        </w:rPr>
        <w:t xml:space="preserve"> </w:t>
      </w:r>
      <w:r w:rsidRPr="009D2686">
        <w:rPr>
          <w:rFonts w:cs="Times New Roman"/>
          <w:bCs/>
          <w:color w:val="000000" w:themeColor="text1"/>
        </w:rPr>
        <w:t>5–11</w:t>
      </w:r>
      <w:r w:rsidRPr="009D2686">
        <w:rPr>
          <w:rFonts w:cs="Times New Roman"/>
          <w:iCs/>
          <w:color w:val="000000" w:themeColor="text1"/>
        </w:rPr>
        <w:t xml:space="preserve"> (Federal Judicial Center 2011), </w:t>
      </w:r>
      <w:r w:rsidRPr="009D2686">
        <w:rPr>
          <w:rStyle w:val="italic"/>
          <w:rFonts w:cs="Times New Roman"/>
          <w:color w:val="000000" w:themeColor="text1"/>
        </w:rPr>
        <w:t xml:space="preserve">available at </w:t>
      </w:r>
      <w:hyperlink r:id="rId2" w:history="1">
        <w:r w:rsidRPr="0048181A">
          <w:rPr>
            <w:rStyle w:val="Hyperlink"/>
            <w:rFonts w:cs="Times New Roman"/>
            <w:color w:val="0070C0"/>
          </w:rPr>
          <w:t>https://fjc.dcn/sites/default/files/2012/DunnJuror.pdf</w:t>
        </w:r>
      </w:hyperlink>
      <w:r w:rsidRPr="009D2686">
        <w:rPr>
          <w:rFonts w:cs="Times New Roman"/>
          <w:iCs/>
          <w:color w:val="000000" w:themeColor="text1"/>
        </w:rPr>
        <w:t>.</w:t>
      </w:r>
      <w:r w:rsidRPr="009D2686">
        <w:rPr>
          <w:rFonts w:cs="Times New Roman"/>
          <w:color w:val="000000" w:themeColor="text1"/>
        </w:rPr>
        <w:t xml:space="preserve"> </w:t>
      </w:r>
    </w:p>
  </w:footnote>
  <w:footnote w:id="2">
    <w:p w14:paraId="3A4D3A78" w14:textId="77777777" w:rsidR="009F0201" w:rsidRPr="009D2686" w:rsidRDefault="009F0201" w:rsidP="009F0201">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Proposed Model Jury Instructions, </w:t>
      </w:r>
      <w:r w:rsidRPr="009D2686">
        <w:rPr>
          <w:rStyle w:val="italic"/>
          <w:rFonts w:cs="Times New Roman"/>
          <w:color w:val="000000" w:themeColor="text1"/>
        </w:rPr>
        <w:t>supra</w:t>
      </w:r>
      <w:r w:rsidRPr="009D2686">
        <w:rPr>
          <w:rFonts w:cs="Times New Roman"/>
          <w:color w:val="000000" w:themeColor="text1"/>
        </w:rPr>
        <w:t xml:space="preserve"> note 1.</w:t>
      </w:r>
    </w:p>
  </w:footnote>
  <w:footnote w:id="3">
    <w:p w14:paraId="3FC8D3E0" w14:textId="77777777" w:rsidR="009F0201" w:rsidRPr="009D2686" w:rsidRDefault="009F0201" w:rsidP="009F0201">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Id.</w:t>
      </w:r>
      <w:r w:rsidRPr="009D2686">
        <w:rPr>
          <w:rFonts w:cs="Times New Roman"/>
          <w:color w:val="000000" w:themeColor="text1"/>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01"/>
    <w:rsid w:val="000D6417"/>
    <w:rsid w:val="00401996"/>
    <w:rsid w:val="00500E09"/>
    <w:rsid w:val="00524EFF"/>
    <w:rsid w:val="00656286"/>
    <w:rsid w:val="007360D6"/>
    <w:rsid w:val="00794757"/>
    <w:rsid w:val="00845A11"/>
    <w:rsid w:val="00864681"/>
    <w:rsid w:val="009F0201"/>
    <w:rsid w:val="00B40C72"/>
    <w:rsid w:val="00CA1CAA"/>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6A2C"/>
  <w15:chartTrackingRefBased/>
  <w15:docId w15:val="{B047F988-B66B-4B05-9038-35F994A4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F0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F0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201"/>
    <w:rPr>
      <w:rFonts w:eastAsiaTheme="majorEastAsia" w:cstheme="majorBidi"/>
      <w:color w:val="272727" w:themeColor="text1" w:themeTint="D8"/>
    </w:rPr>
  </w:style>
  <w:style w:type="paragraph" w:styleId="Title">
    <w:name w:val="Title"/>
    <w:basedOn w:val="Normal"/>
    <w:next w:val="Normal"/>
    <w:link w:val="TitleChar"/>
    <w:uiPriority w:val="10"/>
    <w:qFormat/>
    <w:rsid w:val="009F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201"/>
    <w:pPr>
      <w:spacing w:before="160"/>
      <w:jc w:val="center"/>
    </w:pPr>
    <w:rPr>
      <w:i/>
      <w:iCs/>
      <w:color w:val="404040" w:themeColor="text1" w:themeTint="BF"/>
    </w:rPr>
  </w:style>
  <w:style w:type="character" w:customStyle="1" w:styleId="QuoteChar">
    <w:name w:val="Quote Char"/>
    <w:basedOn w:val="DefaultParagraphFont"/>
    <w:link w:val="Quote"/>
    <w:uiPriority w:val="29"/>
    <w:rsid w:val="009F0201"/>
    <w:rPr>
      <w:i/>
      <w:iCs/>
      <w:color w:val="404040" w:themeColor="text1" w:themeTint="BF"/>
    </w:rPr>
  </w:style>
  <w:style w:type="paragraph" w:styleId="ListParagraph">
    <w:name w:val="List Paragraph"/>
    <w:basedOn w:val="Normal"/>
    <w:uiPriority w:val="34"/>
    <w:qFormat/>
    <w:rsid w:val="009F0201"/>
    <w:pPr>
      <w:ind w:left="720"/>
      <w:contextualSpacing/>
    </w:pPr>
  </w:style>
  <w:style w:type="character" w:styleId="IntenseEmphasis">
    <w:name w:val="Intense Emphasis"/>
    <w:basedOn w:val="DefaultParagraphFont"/>
    <w:uiPriority w:val="21"/>
    <w:qFormat/>
    <w:rsid w:val="009F0201"/>
    <w:rPr>
      <w:i/>
      <w:iCs/>
      <w:color w:val="0F4761" w:themeColor="accent1" w:themeShade="BF"/>
    </w:rPr>
  </w:style>
  <w:style w:type="paragraph" w:styleId="IntenseQuote">
    <w:name w:val="Intense Quote"/>
    <w:basedOn w:val="Normal"/>
    <w:next w:val="Normal"/>
    <w:link w:val="IntenseQuoteChar"/>
    <w:uiPriority w:val="30"/>
    <w:qFormat/>
    <w:rsid w:val="009F0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201"/>
    <w:rPr>
      <w:i/>
      <w:iCs/>
      <w:color w:val="0F4761" w:themeColor="accent1" w:themeShade="BF"/>
    </w:rPr>
  </w:style>
  <w:style w:type="character" w:styleId="IntenseReference">
    <w:name w:val="Intense Reference"/>
    <w:basedOn w:val="DefaultParagraphFont"/>
    <w:uiPriority w:val="32"/>
    <w:qFormat/>
    <w:rsid w:val="009F0201"/>
    <w:rPr>
      <w:b/>
      <w:bCs/>
      <w:smallCaps/>
      <w:color w:val="0F4761" w:themeColor="accent1" w:themeShade="BF"/>
      <w:spacing w:val="5"/>
    </w:rPr>
  </w:style>
  <w:style w:type="character" w:styleId="FootnoteReference">
    <w:name w:val="footnote reference"/>
    <w:uiPriority w:val="99"/>
    <w:unhideWhenUsed/>
    <w:rsid w:val="009F0201"/>
    <w:rPr>
      <w:rFonts w:ascii="Times New Roman" w:hAnsi="Times New Roman"/>
      <w:vertAlign w:val="superscript"/>
    </w:rPr>
  </w:style>
  <w:style w:type="character" w:styleId="Hyperlink">
    <w:name w:val="Hyperlink"/>
    <w:uiPriority w:val="99"/>
    <w:unhideWhenUsed/>
    <w:rsid w:val="009F0201"/>
    <w:rPr>
      <w:rFonts w:ascii="Times New Roman" w:hAnsi="Times New Roman"/>
      <w:color w:val="0563C1"/>
      <w:u w:val="single"/>
    </w:rPr>
  </w:style>
  <w:style w:type="character" w:customStyle="1" w:styleId="italic">
    <w:name w:val="italic"/>
    <w:uiPriority w:val="1"/>
    <w:qFormat/>
    <w:rsid w:val="009F0201"/>
    <w:rPr>
      <w:rFonts w:ascii="Times New Roman" w:hAnsi="Times New Roman"/>
      <w:i/>
      <w:color w:val="FF0000"/>
    </w:rPr>
  </w:style>
  <w:style w:type="paragraph" w:customStyle="1" w:styleId="body-firstparagraph">
    <w:name w:val="body-first paragraph"/>
    <w:basedOn w:val="Normal"/>
    <w:qFormat/>
    <w:rsid w:val="009F0201"/>
    <w:pPr>
      <w:tabs>
        <w:tab w:val="left" w:pos="180"/>
      </w:tabs>
      <w:spacing w:after="60" w:line="242" w:lineRule="auto"/>
      <w:jc w:val="both"/>
    </w:pPr>
    <w:rPr>
      <w:rFonts w:ascii="Times New Roman" w:eastAsia="Calibri" w:hAnsi="Times New Roman" w:cs="Times New Roman"/>
      <w:sz w:val="22"/>
      <w:szCs w:val="22"/>
    </w:rPr>
  </w:style>
  <w:style w:type="paragraph" w:customStyle="1" w:styleId="body">
    <w:name w:val="body"/>
    <w:basedOn w:val="body-firstparagraph"/>
    <w:qFormat/>
    <w:rsid w:val="009F0201"/>
    <w:pPr>
      <w:ind w:firstLine="360"/>
    </w:pPr>
  </w:style>
  <w:style w:type="paragraph" w:customStyle="1" w:styleId="footnotesnew">
    <w:name w:val="footnotesnew"/>
    <w:basedOn w:val="FootnoteText"/>
    <w:qFormat/>
    <w:rsid w:val="009F0201"/>
    <w:pPr>
      <w:keepLines/>
      <w:spacing w:afterLines="20" w:after="48"/>
      <w:ind w:firstLine="360"/>
      <w:jc w:val="both"/>
    </w:pPr>
    <w:rPr>
      <w:rFonts w:ascii="Times New Roman" w:eastAsia="Calibri" w:hAnsi="Times New Roman" w:cs="Calibri"/>
    </w:rPr>
  </w:style>
  <w:style w:type="paragraph" w:customStyle="1" w:styleId="header2">
    <w:name w:val="header2"/>
    <w:basedOn w:val="Normal"/>
    <w:qFormat/>
    <w:rsid w:val="009F0201"/>
    <w:pPr>
      <w:tabs>
        <w:tab w:val="left" w:pos="360"/>
      </w:tabs>
      <w:spacing w:before="120" w:after="60" w:line="240" w:lineRule="auto"/>
    </w:pPr>
    <w:rPr>
      <w:rFonts w:ascii="Times New Roman" w:eastAsia="Calibri" w:hAnsi="Times New Roman" w:cs="Times New Roman"/>
      <w:b/>
      <w:bCs/>
    </w:rPr>
  </w:style>
  <w:style w:type="paragraph" w:customStyle="1" w:styleId="header3">
    <w:name w:val="header3"/>
    <w:basedOn w:val="Normal"/>
    <w:qFormat/>
    <w:rsid w:val="009F0201"/>
    <w:pPr>
      <w:keepNext/>
      <w:tabs>
        <w:tab w:val="left" w:pos="360"/>
      </w:tabs>
      <w:spacing w:after="60" w:line="240" w:lineRule="auto"/>
    </w:pPr>
    <w:rPr>
      <w:rFonts w:ascii="Times New Roman" w:eastAsia="Calibri" w:hAnsi="Times New Roman" w:cs="Times New Roman"/>
      <w:b/>
      <w:bCs/>
      <w:sz w:val="22"/>
      <w:szCs w:val="22"/>
    </w:rPr>
  </w:style>
  <w:style w:type="paragraph" w:customStyle="1" w:styleId="header4">
    <w:name w:val="header4"/>
    <w:basedOn w:val="Normal"/>
    <w:qFormat/>
    <w:rsid w:val="009F0201"/>
    <w:pPr>
      <w:tabs>
        <w:tab w:val="left" w:pos="360"/>
      </w:tabs>
      <w:spacing w:after="60" w:line="240" w:lineRule="auto"/>
      <w:ind w:left="180"/>
    </w:pPr>
    <w:rPr>
      <w:rFonts w:ascii="Times New Roman" w:eastAsia="Calibri" w:hAnsi="Times New Roman" w:cs="Times New Roman"/>
      <w:b/>
      <w:bCs/>
      <w:sz w:val="22"/>
      <w:szCs w:val="22"/>
    </w:rPr>
  </w:style>
  <w:style w:type="paragraph" w:customStyle="1" w:styleId="Colloquytext">
    <w:name w:val="Colloquy text"/>
    <w:basedOn w:val="Normal"/>
    <w:uiPriority w:val="99"/>
    <w:rsid w:val="009F0201"/>
    <w:pPr>
      <w:autoSpaceDE w:val="0"/>
      <w:autoSpaceDN w:val="0"/>
      <w:spacing w:after="0" w:line="260" w:lineRule="atLeast"/>
      <w:jc w:val="both"/>
    </w:pPr>
    <w:rPr>
      <w:rFonts w:ascii="ITC Legacy Sans Medium" w:eastAsia="Times" w:hAnsi="ITC Legacy Sans Medium" w:cs="ITC Legacy Sans Medium"/>
      <w:kern w:val="0"/>
    </w:rPr>
  </w:style>
  <w:style w:type="paragraph" w:customStyle="1" w:styleId="Colloquytextlist">
    <w:name w:val="Colloquy text list"/>
    <w:basedOn w:val="Normal"/>
    <w:uiPriority w:val="99"/>
    <w:rsid w:val="009F0201"/>
    <w:pPr>
      <w:autoSpaceDE w:val="0"/>
      <w:autoSpaceDN w:val="0"/>
      <w:spacing w:before="60" w:after="0" w:line="260" w:lineRule="atLeast"/>
      <w:ind w:left="720" w:hanging="360"/>
      <w:jc w:val="both"/>
    </w:pPr>
    <w:rPr>
      <w:rFonts w:ascii="ITC Legacy Sans Medium" w:eastAsia="Times" w:hAnsi="ITC Legacy Sans Medium" w:cs="ITC Legacy Sans Medium"/>
      <w:kern w:val="0"/>
    </w:rPr>
  </w:style>
  <w:style w:type="paragraph" w:styleId="FootnoteText">
    <w:name w:val="footnote text"/>
    <w:basedOn w:val="Normal"/>
    <w:link w:val="FootnoteTextChar"/>
    <w:uiPriority w:val="99"/>
    <w:semiHidden/>
    <w:unhideWhenUsed/>
    <w:rsid w:val="009F0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1"/>
    <w:rPr>
      <w:sz w:val="20"/>
      <w:szCs w:val="20"/>
    </w:rPr>
  </w:style>
  <w:style w:type="paragraph" w:styleId="Header">
    <w:name w:val="header"/>
    <w:basedOn w:val="Normal"/>
    <w:link w:val="HeaderChar"/>
    <w:uiPriority w:val="99"/>
    <w:unhideWhenUsed/>
    <w:rsid w:val="00656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86"/>
  </w:style>
  <w:style w:type="paragraph" w:styleId="Footer">
    <w:name w:val="footer"/>
    <w:basedOn w:val="Normal"/>
    <w:link w:val="FooterChar"/>
    <w:uiPriority w:val="99"/>
    <w:unhideWhenUsed/>
    <w:rsid w:val="00656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jc.dcn/sites/default/files/2012/DunnJuror.pdf" TargetMode="External"/><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2168</Words>
  <Characters>12361</Characters>
  <Application>Microsoft Office Word</Application>
  <DocSecurity>0</DocSecurity>
  <Lines>103</Lines>
  <Paragraphs>28</Paragraphs>
  <ScaleCrop>false</ScaleCrop>
  <Company>Federal Judicial Center</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2025-12-12T16:35:00Z</dcterms:created>
  <dcterms:modified xsi:type="dcterms:W3CDTF">2025-12-12T16:35:00Z</dcterms:modified>
</cp:coreProperties>
</file>